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415</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Яикбаева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Джалила</w:t>
      </w:r>
      <w:r>
        <w:rPr>
          <w:rFonts w:ascii="Times New Roman" w:eastAsia="Times New Roman" w:hAnsi="Times New Roman" w:cs="Times New Roman"/>
          <w:b/>
          <w:bCs/>
          <w:sz w:val="26"/>
          <w:szCs w:val="26"/>
        </w:rPr>
        <w:t xml:space="preserve"> Маратовича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1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работающего,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Яикбаев</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30.12.2023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15 час. 44</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2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749</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автомобильной дороги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Яикбаев</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судебное заседание не явился, о месте и времени судебного заседания извещен надлежащим образом, </w:t>
      </w:r>
      <w:r>
        <w:rPr>
          <w:rFonts w:ascii="Times New Roman" w:eastAsia="Times New Roman" w:hAnsi="Times New Roman" w:cs="Times New Roman"/>
          <w:sz w:val="26"/>
          <w:szCs w:val="26"/>
        </w:rPr>
        <w:t>об отложении судебного заседания не ходатайствовал.</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Яикбаева</w:t>
      </w:r>
      <w:r>
        <w:rPr>
          <w:rFonts w:ascii="Times New Roman" w:eastAsia="Times New Roman" w:hAnsi="Times New Roman" w:cs="Times New Roman"/>
          <w:sz w:val="26"/>
          <w:szCs w:val="26"/>
        </w:rPr>
        <w:t xml:space="preserve"> Д.М.</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w:t>
      </w:r>
      <w:r>
        <w:rPr>
          <w:rFonts w:ascii="Times New Roman" w:eastAsia="Times New Roman" w:hAnsi="Times New Roman" w:cs="Times New Roman"/>
          <w:sz w:val="26"/>
          <w:szCs w:val="26"/>
        </w:rPr>
        <w:t>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Яикбаевым</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560935</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Яикбаева</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 xml:space="preserve">места совершения административного правонарушения, составленной с участием </w:t>
      </w:r>
      <w:r>
        <w:rPr>
          <w:rFonts w:ascii="Times New Roman" w:eastAsia="Times New Roman" w:hAnsi="Times New Roman" w:cs="Times New Roman"/>
          <w:sz w:val="26"/>
          <w:szCs w:val="26"/>
        </w:rPr>
        <w:t>Яикбаева</w:t>
      </w:r>
      <w:r>
        <w:rPr>
          <w:rFonts w:ascii="Times New Roman" w:eastAsia="Times New Roman" w:hAnsi="Times New Roman" w:cs="Times New Roman"/>
          <w:sz w:val="26"/>
          <w:szCs w:val="26"/>
        </w:rPr>
        <w:t xml:space="preserve"> Д.М.</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ст.</w:t>
      </w:r>
      <w:r>
        <w:rPr>
          <w:rFonts w:ascii="Times New Roman" w:eastAsia="Times New Roman" w:hAnsi="Times New Roman" w:cs="Times New Roman"/>
          <w:sz w:val="26"/>
          <w:szCs w:val="26"/>
        </w:rPr>
        <w:t>ИДПС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взвода №2 роты №2</w:t>
      </w:r>
      <w:r>
        <w:rPr>
          <w:rFonts w:ascii="Times New Roman" w:eastAsia="Times New Roman" w:hAnsi="Times New Roman" w:cs="Times New Roman"/>
          <w:sz w:val="26"/>
          <w:szCs w:val="26"/>
        </w:rPr>
        <w:t xml:space="preserve"> 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Сухарева Е.В. от 30.12.2023</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участка км 731+642-км 846+757</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Яикбаева</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Яикбаевым</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Яикбаева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Джалила</w:t>
      </w:r>
      <w:r>
        <w:rPr>
          <w:rFonts w:ascii="Times New Roman" w:eastAsia="Times New Roman" w:hAnsi="Times New Roman" w:cs="Times New Roman"/>
          <w:b/>
          <w:bCs/>
          <w:sz w:val="26"/>
          <w:szCs w:val="26"/>
        </w:rPr>
        <w:t xml:space="preserve"> Маратовича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w:t>
      </w:r>
      <w:r>
        <w:rPr>
          <w:rFonts w:ascii="Times New Roman" w:eastAsia="Times New Roman" w:hAnsi="Times New Roman" w:cs="Times New Roman"/>
          <w:sz w:val="26"/>
          <w:szCs w:val="26"/>
        </w:rPr>
        <w:t xml:space="preserve">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188104862309100</w:t>
      </w:r>
      <w:r>
        <w:rPr>
          <w:rFonts w:ascii="Times New Roman" w:eastAsia="Times New Roman" w:hAnsi="Times New Roman" w:cs="Times New Roman"/>
          <w:sz w:val="26"/>
          <w:szCs w:val="26"/>
        </w:rPr>
        <w:t>21830</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342836"/>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 w:type="character" w:customStyle="1" w:styleId="cat-UserDefinedgrp-32rplc-14">
    <w:name w:val="cat-UserDefined grp-32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F496117-991C-4626-B6D5-432245044CB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